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DE" w:rsidRPr="003A2A1F" w:rsidRDefault="003A2A1F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A2A1F">
        <w:rPr>
          <w:rFonts w:ascii="Times New Roman CYR" w:hAnsi="Times New Roman CYR" w:cs="Times New Roman CYR"/>
          <w:b/>
          <w:color w:val="000000"/>
          <w:sz w:val="28"/>
          <w:szCs w:val="28"/>
        </w:rPr>
        <w:t>Лекція</w:t>
      </w:r>
    </w:p>
    <w:p w:rsidR="002D1EDE" w:rsidRDefault="002D1EDE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3A2A1F">
        <w:rPr>
          <w:rFonts w:ascii="Times New Roman CYR" w:hAnsi="Times New Roman CYR" w:cs="Times New Roman CYR"/>
          <w:b/>
          <w:color w:val="000000"/>
          <w:sz w:val="28"/>
          <w:szCs w:val="28"/>
        </w:rPr>
        <w:t>Хронічний панкреатит</w:t>
      </w:r>
    </w:p>
    <w:p w:rsidR="00B068E1" w:rsidRDefault="00B068E1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B068E1">
        <w:rPr>
          <w:rFonts w:ascii="Times New Roman CYR" w:hAnsi="Times New Roman CYR" w:cs="Times New Roman CYR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384E8" wp14:editId="2E0EA920">
                <wp:simplePos x="0" y="0"/>
                <wp:positionH relativeFrom="margin">
                  <wp:align>left</wp:align>
                </wp:positionH>
                <wp:positionV relativeFrom="paragraph">
                  <wp:posOffset>4218235</wp:posOffset>
                </wp:positionV>
                <wp:extent cx="5226341" cy="307975"/>
                <wp:effectExtent l="0" t="0" r="0" b="889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6341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8E1" w:rsidRDefault="00B068E1" w:rsidP="00B068E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Скелетотоп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і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я поджелудочной железы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0384E8" id="Rectangle 6" o:spid="_x0000_s1026" style="position:absolute;left:0;text-align:left;margin-left:0;margin-top:332.15pt;width:411.5pt;height:24.2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" filled="f" stroked="f">
                <v:textbox style="mso-fit-shape-to-text:t">
                  <w:txbxContent>
                    <w:p w:rsidR="00B068E1" w:rsidRDefault="00B068E1" w:rsidP="00B068E1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ru-RU"/>
                        </w:rPr>
                        <w:t>Скелетотоп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</w:rPr>
                        <w:t>і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ru-RU"/>
                        </w:rPr>
                        <w:t>я поджелудочной железы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16"/>
                          <w:szCs w:val="16"/>
                          <w:lang w:val="ru-RU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068E1">
        <w:rPr>
          <w:rFonts w:ascii="Times New Roman CYR" w:hAnsi="Times New Roman CYR" w:cs="Times New Roman CYR"/>
          <w:b/>
          <w:color w:val="000000"/>
          <w:sz w:val="28"/>
          <w:szCs w:val="28"/>
        </w:rPr>
        <w:drawing>
          <wp:inline distT="0" distB="0" distL="0" distR="0" wp14:anchorId="32614764" wp14:editId="58FC9314">
            <wp:extent cx="5940425" cy="4100195"/>
            <wp:effectExtent l="0" t="0" r="3175" b="0"/>
            <wp:docPr id="6" name="Picture 4" descr="http://www.uroweb.ru/catalog/med_lib/oper_atl/img/6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 descr="http://www.uroweb.ru/catalog/med_lib/oper_atl/img/675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068E1" w:rsidRDefault="00B068E1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B068E1">
        <w:rPr>
          <w:rFonts w:ascii="Times New Roman CYR" w:hAnsi="Times New Roman CYR" w:cs="Times New Roman CYR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C75F3" wp14:editId="4175BC0D">
                <wp:simplePos x="0" y="0"/>
                <wp:positionH relativeFrom="column">
                  <wp:posOffset>-1080135</wp:posOffset>
                </wp:positionH>
                <wp:positionV relativeFrom="paragraph">
                  <wp:posOffset>-5401945</wp:posOffset>
                </wp:positionV>
                <wp:extent cx="3627437" cy="307975"/>
                <wp:effectExtent l="0" t="0" r="0" b="0"/>
                <wp:wrapNone/>
                <wp:docPr id="614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27437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68E1" w:rsidRDefault="00B068E1" w:rsidP="00B068E1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Скелетотоп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</w:rPr>
                              <w:t>і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я поджелудочной железы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16"/>
                                <w:szCs w:val="16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non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C75F3" id="_x0000_s1027" style="position:absolute;left:0;text-align:left;margin-left:-85.05pt;margin-top:-425.35pt;width:285.6pt;height:24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" filled="f" stroked="f">
                <v:textbox style="mso-fit-shape-to-text:t">
                  <w:txbxContent>
                    <w:p w:rsidR="00B068E1" w:rsidRDefault="00B068E1" w:rsidP="00B068E1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ru-RU"/>
                        </w:rPr>
                        <w:t>Скелетотоп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</w:rPr>
                        <w:t>і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ru-RU"/>
                        </w:rPr>
                        <w:t>я поджелудочной железы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16"/>
                          <w:szCs w:val="16"/>
                          <w:lang w:val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B068E1" w:rsidRDefault="00B068E1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B068E1" w:rsidRDefault="00B068E1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B068E1" w:rsidRDefault="00B068E1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B068E1">
        <w:rPr>
          <w:rFonts w:ascii="Times New Roman CYR" w:hAnsi="Times New Roman CYR" w:cs="Times New Roman CYR"/>
          <w:b/>
          <w:color w:val="000000"/>
          <w:sz w:val="28"/>
          <w:szCs w:val="28"/>
        </w:rPr>
        <w:drawing>
          <wp:inline distT="0" distB="0" distL="0" distR="0" wp14:anchorId="4AC27281" wp14:editId="48E3175C">
            <wp:extent cx="5940425" cy="2684477"/>
            <wp:effectExtent l="0" t="0" r="3175" b="1905"/>
            <wp:docPr id="7171" name="Picture 4" descr="http://www.uroweb.ru/catalog/med_lib/oper_atl/img/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4" descr="http://www.uroweb.ru/catalog/med_lib/oper_atl/img/674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776" cy="269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068E1" w:rsidRDefault="00B068E1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B068E1" w:rsidRDefault="00A75278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B068E1">
        <w:rPr>
          <w:rFonts w:ascii="Times New Roman CYR" w:hAnsi="Times New Roman CYR" w:cs="Times New Roman CYR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D90A9B" wp14:editId="2F78C4A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7299274" cy="1384995"/>
                <wp:effectExtent l="0" t="0" r="0" b="0"/>
                <wp:wrapNone/>
                <wp:docPr id="717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99274" cy="138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>Положение поджелудочной железы в брюшной полости.</w:t>
                            </w: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ventriculus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2 —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et v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gastrica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sinistra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3 —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lien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4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lig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phrenicolienale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5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lig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gastrolienale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6 —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 xml:space="preserve">corpus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pancreatis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7 —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 xml:space="preserve">cauda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pancreatis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>;</w:t>
                            </w: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 8 — место прикрепления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mesocolon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transversum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9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flexura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duodenojejunalis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10 —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 xml:space="preserve">caput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pancreatis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>;</w:t>
                            </w: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II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 —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duodenum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12 —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 xml:space="preserve">foramen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epiploicum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13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lig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hepatoduodenale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14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hepar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15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lig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hepatogastricum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 xml:space="preserve">; 16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vesica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en-GB"/>
                              </w:rPr>
                              <w:t>fellea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lang w:val="ru-RU"/>
                              </w:rPr>
                              <w:t>.</w:t>
                            </w: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wrap="square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D90A9B" id="_x0000_s1028" style="position:absolute;left:0;text-align:left;margin-left:0;margin-top:-.05pt;width:574.75pt;height:109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" filled="f" stroked="f">
                <v:textbox style="mso-fit-shape-to-text:t">
                  <w:txbxContent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>Положение поджелудочной железы в брюшной полости.</w:t>
                      </w: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ventriculus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2 —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a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.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et v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gastrica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sinistra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3 —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lien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4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lig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phrenicolienale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5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lig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gastrolienale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6 —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 xml:space="preserve">corpus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pancreatis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7 —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 xml:space="preserve">cauda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pancreatis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>;</w:t>
                      </w: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 8 — место прикрепления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mesocolon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transversum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9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flexura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duodenojejunalis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10 —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 xml:space="preserve">caput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pancreatis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>;</w:t>
                      </w: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II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 —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duodenum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12 — 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 xml:space="preserve">foramen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epiploicum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13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lig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hepatoduodenale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14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hepar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15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lig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hepatogastricum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 xml:space="preserve">; 16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vesica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en-GB"/>
                        </w:rPr>
                        <w:t>fellea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lang w:val="ru-RU"/>
                        </w:rPr>
                        <w:t>.</w:t>
                      </w: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</w:p>
    <w:p w:rsidR="00A75278" w:rsidRDefault="00A75278" w:rsidP="0003777F">
      <w:pPr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A75278" w:rsidRDefault="00A75278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75278">
        <w:rPr>
          <w:rFonts w:ascii="Times New Roman CYR" w:hAnsi="Times New Roman CYR" w:cs="Times New Roman CYR"/>
          <w:b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261B1B" wp14:editId="52EAD098">
                <wp:simplePos x="0" y="0"/>
                <wp:positionH relativeFrom="column">
                  <wp:posOffset>-912355</wp:posOffset>
                </wp:positionH>
                <wp:positionV relativeFrom="paragraph">
                  <wp:posOffset>3881247</wp:posOffset>
                </wp:positionV>
                <wp:extent cx="9058240" cy="1541535"/>
                <wp:effectExtent l="0" t="0" r="0" b="1905"/>
                <wp:wrapNone/>
                <wp:docPr id="819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58240" cy="1541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bookmarkStart w:id="0" w:name="_GoBack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Выводные протоки поджелудочной железы и места впадения их в двенадцатиперстную кишку.</w:t>
                            </w: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1 — ductus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choledochus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; 2 — v. portae; 3 — a. hepatica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communis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; 4 — ductus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pancreaticus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; </w:t>
                            </w: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5 — pancreas; 6 —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flexura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duodenojejunalis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; 7 — papilla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duodeni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major;</w:t>
                            </w: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8 — ductus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pancreaticus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accessorius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; 9 — papilla </w:t>
                            </w:r>
                            <w:proofErr w:type="spellStart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>duodeni</w:t>
                            </w:r>
                            <w:proofErr w:type="spellEnd"/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  <w:t xml:space="preserve"> minor; 10 — duodenum.</w:t>
                            </w: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03777F" w:rsidRDefault="0003777F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99"/>
                                <w:kern w:val="24"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bookmarkEnd w:id="0"/>
                          <w:p w:rsidR="00A75278" w:rsidRDefault="00A75278" w:rsidP="00A75278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textAlignment w:val="baseline"/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61B1B" id="_x0000_s1029" style="position:absolute;left:0;text-align:left;margin-left:-71.85pt;margin-top:305.6pt;width:713.25pt;height:12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" filled="f" stroked="f">
                <v:textbox>
                  <w:txbxContent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  <w:bookmarkStart w:id="1" w:name="_GoBack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ru-RU"/>
                        </w:rPr>
                        <w:t>Выводные протоки поджелудочной железы и места впадения их в двенадцатиперстную кишку.</w:t>
                      </w: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1 — ductus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choledochus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; 2 — v. portae; 3 — a. hepatica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communis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; 4 — ductus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pancreaticus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; </w:t>
                      </w: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5 — pancreas; 6 —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flexura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duodenojejunalis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; 7 — papilla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duodeni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 major;</w:t>
                      </w: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 8 — ductus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pancreaticus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accessorius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; 9 — papilla </w:t>
                      </w:r>
                      <w:proofErr w:type="spellStart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>duodeni</w:t>
                      </w:r>
                      <w:proofErr w:type="spellEnd"/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  <w:t xml:space="preserve"> minor; 10 — duodenum.</w:t>
                      </w: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03777F" w:rsidRDefault="0003777F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="Arial" w:eastAsia="Times New Roman" w:hAnsi="Arial" w:cs="Arial"/>
                          <w:b/>
                          <w:bCs/>
                          <w:color w:val="000099"/>
                          <w:kern w:val="24"/>
                          <w:sz w:val="28"/>
                          <w:szCs w:val="28"/>
                          <w:lang w:val="en-GB"/>
                        </w:rPr>
                      </w:pPr>
                    </w:p>
                    <w:bookmarkEnd w:id="1"/>
                    <w:p w:rsidR="00A75278" w:rsidRDefault="00A75278" w:rsidP="00A75278">
                      <w:pPr>
                        <w:pStyle w:val="a7"/>
                        <w:spacing w:before="0" w:beforeAutospacing="0" w:after="0" w:afterAutospacing="0"/>
                        <w:jc w:val="both"/>
                        <w:textAlignment w:val="baseline"/>
                      </w:pPr>
                    </w:p>
                  </w:txbxContent>
                </v:textbox>
              </v:rect>
            </w:pict>
          </mc:Fallback>
        </mc:AlternateContent>
      </w:r>
      <w:r w:rsidRPr="00A75278">
        <w:rPr>
          <w:rFonts w:ascii="Times New Roman CYR" w:hAnsi="Times New Roman CYR" w:cs="Times New Roman CYR"/>
          <w:b/>
          <w:color w:val="000000"/>
          <w:sz w:val="28"/>
          <w:szCs w:val="28"/>
        </w:rPr>
        <w:drawing>
          <wp:inline distT="0" distB="0" distL="0" distR="0" wp14:anchorId="492DD571" wp14:editId="7E622325">
            <wp:extent cx="5940425" cy="3862070"/>
            <wp:effectExtent l="0" t="0" r="3175" b="5080"/>
            <wp:docPr id="3" name="Picture 4" descr="http://www.uroweb.ru/catalog/med_lib/oper_atl/img/6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5" name="Picture 4" descr="http://www.uroweb.ru/catalog/med_lib/oper_atl/img/677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6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A75278" w:rsidRDefault="00A75278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A75278" w:rsidRDefault="00A75278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p w:rsidR="00A75278" w:rsidRPr="003A2A1F" w:rsidRDefault="00A75278" w:rsidP="003A2A1F">
      <w:pPr>
        <w:jc w:val="center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A75278">
        <w:rPr>
          <w:noProof/>
          <w:lang w:eastAsia="uk-UA"/>
        </w:rPr>
        <w:t xml:space="preserve"> 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Хронічний панкреатит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–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це хронічне п</w:t>
      </w:r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рогресуюче захворювання підшлун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кової залози, в основі якого лежать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запальн</w:t>
      </w:r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о</w:t>
      </w:r>
      <w:proofErr w:type="spellEnd"/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-дегенеративні процеси, які зу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мовлюють деструкцію її основних анатомічних структур і розвиток різного ступеня екзокринної й ендокринної недостатності. Приблизно у 70 % хворих хронічний панкреатит є продовженням гострого процесу в залозі.</w:t>
      </w:r>
    </w:p>
    <w:p w:rsidR="00B427BC" w:rsidRDefault="003A2A1F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Основними причинами 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хронічного панкреатиту є захворювання жовчних шляхів (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калькульозний</w:t>
      </w:r>
      <w:proofErr w:type="spellEnd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холецистит, 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холедохолі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тіаз</w:t>
      </w:r>
      <w:proofErr w:type="spellEnd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стенозуючий</w:t>
      </w:r>
      <w:proofErr w:type="spellEnd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папіліт</w:t>
      </w:r>
      <w:proofErr w:type="spellEnd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), два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надцятипалої кишки (дуоденіт, 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дуоденостаз</w:t>
      </w:r>
      <w:proofErr w:type="spellEnd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), зміни в 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протоковій</w:t>
      </w:r>
      <w:proofErr w:type="spellEnd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системі підшлункової залози (первинні пухлини, стриктури, 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метаплазія</w:t>
      </w:r>
      <w:proofErr w:type="spellEnd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протокового</w:t>
      </w:r>
      <w:proofErr w:type="spellEnd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епітелію), погрішності в дієті, вживання алкоголю і т. ін. 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Залежно від причини розвитку хронічного панкреатиту і його клінічного перебігу розрізняють: а) </w:t>
      </w:r>
      <w:proofErr w:type="spellStart"/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холецистопанкреатит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; б) </w:t>
      </w:r>
      <w:proofErr w:type="spellStart"/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холепанкреатит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; в) </w:t>
      </w:r>
      <w:proofErr w:type="spellStart"/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дуоденопанкреатит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; г)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папі-</w:t>
      </w:r>
      <w:proofErr w:type="spellStart"/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лепанкреатиті</w:t>
      </w:r>
      <w:proofErr w:type="spellEnd"/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;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д)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автономний панкреатит.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Клініка.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Основними ознаками хронічного панкреатиту є тупий, ниючий, а інколи ріжучий біль в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епігастральній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ділянці  з іррадіацією в поперек, праве плече, лопатку, нерідко в ділянку серця. Біль, як правило,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посилюється після порушення дієти, фізичного та нервового перенапруження. Часто у хворих виникає нудота, блювання, відчуття тяжкості в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епігастрії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затримка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випорож-нення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або проноси.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 прогресуванням хвороби стан хворих погіршується, вони втрачають вагу.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Схуднення інколи доходить до різкого висна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ження. Основними причинами схуд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нення є недостатнє виділення та поступлення панкреатичних ферментів у два-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надцятипалу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кишку, труднощі у виборі дієти та утримування від приймання їжі, яка часто зумовлює напад болю. При локалізації процесу в ділянці тіла і хвоста підшлункової залози і ураженні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інсулярного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апарату може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розвинутись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цукровий діабет. Поряд із цим, в окремих хворих може виникати синдром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біліар-ної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гіпертензії з наступним розвитком  механічної жовтяниці та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холангіту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При пальпації живота інколи вдається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пропальпувати</w:t>
      </w:r>
      <w:proofErr w:type="spellEnd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підшлункову зало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зу у вигляді горизонтально розміщеного щільного,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помірно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болючого тяжу.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Важливу роль для встановлення діагноз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у має дослідження 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внутрішньосек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реторної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функції підшлункової залози, яка ґрун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тується на визначенні рівня амі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лази і цукру  в сироватці крові й сечі, визначення гормонів (інсуліну, С-пептиду та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глюкагону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).  При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копрологічному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дослідженні  виявляють рідкий, сірого ко-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льору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випорожнення, які містять підвищену кількість нейтрального жиру (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стеа-торея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) і велику кількість м’язових волокон (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креаторея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). При УЗД підшлункової залози визначають нерівність контурів залози,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підви-щену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щільність її паренхіми, розши-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рення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проток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інколи відкладення 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солей (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кальцифікати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).</w:t>
      </w:r>
    </w:p>
    <w:p w:rsidR="00B427BC" w:rsidRDefault="002D1EDE" w:rsidP="00B42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Важливе значення для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встанов-лення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діагнозу хронічного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панкре-атиту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мають комп’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ютерна томо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графія,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сцинтиграфія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пункційн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а</w:t>
      </w:r>
      <w:proofErr w:type="spellEnd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біопсія, релаксаційна 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дуодено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гра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фія</w:t>
      </w:r>
      <w:proofErr w:type="spellEnd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, при якій спостерігають роз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ширену “підкову” дванадцятипалої кишки, за рахун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ок збільшення голівки підшлунко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вої залози </w:t>
      </w:r>
    </w:p>
    <w:p w:rsidR="00B427BC" w:rsidRDefault="002D1EDE" w:rsidP="00B42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Лікування. 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Вибір  методу лікування хро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нічного па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нкреатиту залежить від його фор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ми і фази клінічного перебігу. Переважна більшість хворих на хронічний панкреатит потребує консервативного 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лікування. Хво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рим призначають спеціальну дієту (стіл № 5 п), з якої виключають жарену, гостру, солену, жирну їжу,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сокогінні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страви. Разом із тим, д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ієта повинна бути висококалорій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ною і містити достатню кількість білків (150 г ), жирів (30-40 г) і вуглеводів (350-400 г). Для покращання процесів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травлен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-ня їжі х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ворим рекомендують приймати пре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парати, які містять ферменти підшлункової залози (п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анкреатин, фестал або 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креон</w:t>
      </w:r>
      <w:proofErr w:type="spellEnd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ме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зим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-форте,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панзинорм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семілазу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полензим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солізим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і т. ін.). </w:t>
      </w:r>
    </w:p>
    <w:p w:rsidR="002D1EDE" w:rsidRPr="00B427BC" w:rsidRDefault="002D1EDE" w:rsidP="00B427B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При наявності кишкового дисбактеріозу застосовують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реосек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імоді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-ум,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інтестопан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в поєднанні з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еубіотиками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(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біфікол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лактобактерин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колібакте-рин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біфідумбактерин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і т.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). Для покращення репаративних процесів в організмі призначають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анаболічні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препарати (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феноболін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ретаболіл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сілаболін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метилан-дростендіол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і їх аналоги). Для зупинки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запально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-дегенеративних процесів у залозі призначають  протизапальну терапію (бутадіон,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індометацин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, вольта-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рен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месулід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та ін.). Досить ефективним препаратом є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метилурацил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який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підви-щує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неспецифічну опірність організму, має протизапальну дію і стимулює регенераторні процеси у підшлунковій залозі. Його слід призначати по 0,25-0,5 г три рази на добу після їди курсами по два місяці з перервою 2-3 тижні між курсами. Важливе місце у лікуванні хворих на хронічний панкреатит займає фізіотерапевтичне лікування (іонофорез,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індуктотерапія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мікрохвильова, ла-зерна терапія і т. ін.). Для санаторно-курортного лікування рекомендують Моршин,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Східницю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Гусятин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Сатанів. При відсутності ефекту від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консерва-тивної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терапії і наявності ускладнень хронічного панкреатиту (рубцевих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стрик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-тур, каменів у протоках, кіст, нориць і т. ін.) застосовують хірургічне ліку-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вання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основною метою якого є створення умов для оптимального відтоку панкреатичного соку в шлунково-кишковий тракт. З цією метою при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невели-ких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стриктурах панкреатичної протоки  застосовують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трансдуоденальну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або ендоскопічну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папілосфінктеротомію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з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трансдуоденальним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дренуванням про-токи підшлункової залози або</w:t>
      </w:r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proofErr w:type="spellStart"/>
      <w:r w:rsidR="00B427BC">
        <w:rPr>
          <w:rFonts w:ascii="Times New Roman" w:hAnsi="Times New Roman" w:cs="Times New Roman"/>
          <w:b/>
          <w:color w:val="231F20"/>
          <w:sz w:val="28"/>
          <w:szCs w:val="28"/>
        </w:rPr>
        <w:t>вірсунгопластикою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.</w:t>
      </w:r>
    </w:p>
    <w:p w:rsidR="002D1EDE" w:rsidRPr="003A2A1F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При наявності довших стриктур накладають анастомоз між розсіченою по довжині панкреатичною протокою і петлею тонкої кишки. При звуженнях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значної частини протоки в голівці та тілі залози 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виконують резекцію її хвостової частини з накладанням анастомозу з тонкою кишкою.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У багатьох хворих виникає необхідніс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ть у виконанні комбінованих опе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рацій. Їх характер і об’єм залежать від наявності патологоанатомічних змін у підшлунковій залозі і сусідніх органах, пов’язаних із хронічним панкреатитом.</w:t>
      </w:r>
    </w:p>
    <w:p w:rsidR="002E6C40" w:rsidRPr="002E6C40" w:rsidRDefault="002E6C40" w:rsidP="002E6C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31F20"/>
          <w:sz w:val="40"/>
          <w:szCs w:val="40"/>
        </w:rPr>
      </w:pPr>
    </w:p>
    <w:p w:rsidR="002D1EDE" w:rsidRPr="002E6C40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31F20"/>
          <w:sz w:val="40"/>
          <w:szCs w:val="40"/>
        </w:rPr>
      </w:pPr>
      <w:r w:rsidRPr="002E6C40">
        <w:rPr>
          <w:rFonts w:ascii="Times New Roman" w:hAnsi="Times New Roman" w:cs="Times New Roman"/>
          <w:b/>
          <w:bCs/>
          <w:color w:val="231F20"/>
          <w:sz w:val="40"/>
          <w:szCs w:val="40"/>
        </w:rPr>
        <w:t>Кісти та нориці підшлункової залози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bCs/>
          <w:i/>
          <w:iCs/>
          <w:color w:val="231F20"/>
          <w:sz w:val="28"/>
          <w:szCs w:val="28"/>
        </w:rPr>
        <w:t>Кіста підшлункової залози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–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це обмежена капсулою порожнина, заповнена рідиною (панкреатичним соком, ексудатом, гноєм), яка виділяється із тканини підшлункової залози. Розрізняють: а)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вроджені кісти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які утворюються 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внас-лідок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вад розвитку тканини або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проток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підшлункової залози; б)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набуті кісти,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які можуть утворюватися внаслідок закупорки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проток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залози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каменем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, пух-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линою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; після перенесеного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панкреонекрозу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травм підшлункової залози,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інфіку-вання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паразитами (ехінокок, цистицеркоз і т. ін.). Кісти підшлункової залози можуть бути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справжніми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і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несправжніми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(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псевдокістами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). У справжніх кіст внутрішня поверхня вистелена епітеліальною оболонкою, у несправжніх кіст (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псевдокіст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) – грануляційною, фіброзною тканиною.</w:t>
      </w:r>
    </w:p>
    <w:p w:rsidR="002E6C40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Клініка.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Клінічний перебіг кіст підшлункової залози залежить від їх виду, розмірів, локалізації, стадії формування і ускл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аднень. Найбільш 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часто зустріча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ються нес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правжні (</w:t>
      </w:r>
      <w:proofErr w:type="spellStart"/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псевдокісти</w:t>
      </w:r>
      <w:proofErr w:type="spellEnd"/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) кісти (80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% всі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х кіст). У їх формуванні виділя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ють чотири стадії: </w:t>
      </w:r>
    </w:p>
    <w:p w:rsidR="002E6C40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І стадія –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утворення порожнини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(1-1,5 місяця)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,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внаслідок не-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крозу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в центрі запального процесу підшлункової залози або її травми виникає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порожнина, в яку збирається секрет залози; </w:t>
      </w:r>
    </w:p>
    <w:p w:rsidR="002E6C40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ІІ стадія –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формування кісти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(2-3 місяці), закінчується резорбція некротичних тканин, затухають запальні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проце-си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в залозі і формується пухка, нестійка капсула кісти; </w:t>
      </w:r>
    </w:p>
    <w:p w:rsidR="002E6C40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ІІІ стадія –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завершеного формування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(дозрівання)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 кісти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(3-6 місяців);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стінка її стає щільною, вона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зро-щується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з навколишніми органами; </w:t>
      </w:r>
    </w:p>
    <w:p w:rsidR="002E6C40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ІV стадія –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відмежування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(6-12 місяців); кіста стає рухомою, легко виділяється зі спайок. Кісти невеликих розмірів можуть перебігати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безсимптомно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. </w:t>
      </w:r>
    </w:p>
    <w:p w:rsidR="002D1EDE" w:rsidRPr="003A2A1F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Основні ознаки захворювання спостерігаються тоді, коли кіста досягає великих розмірів і викликає стиснення або зміщення сусідніх органів. У хворих виникає біль у верхній половині живота, диспепсичні розлади, схуднення. При пальпації живота виявляють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пухлиноподібний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утвір, який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зна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-ходиться в проекції підшлункової залози або виходить за її межі. Основними ускладненнями кісти підшлункової залози є: нагноєння її вмісту; перфорація кісти у вільну черевну порожнину; прорив у шлунок, дванадцятипалу кишку, рідше товсту кишку;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арозивні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кровотечі; малігнізація стінки кісти і т. ін. Вирішальне значення для встановлення діагнозу кісти підшлункової залози та її ускладнень мають УЗД, комп’ютерна томографія, біохімічний аналіз крові (амілаза, цукор, білірубін), аналіз сечі на діастазу (рис. 3.5.38).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2E6C40">
        <w:rPr>
          <w:rFonts w:ascii="Times New Roman" w:hAnsi="Times New Roman" w:cs="Times New Roman"/>
          <w:b/>
          <w:i/>
          <w:iCs/>
          <w:color w:val="231F20"/>
          <w:sz w:val="32"/>
          <w:szCs w:val="32"/>
        </w:rPr>
        <w:t>Лікування.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Методом вибору лікуванн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я кісти підшлункової залози є оператив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не лікування. Вибір методу лікування залежить від стадії формування кісти та її ускладнень. При невеликій кісті на І стадії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її утворення, проводять консер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вативну терапію, як при гос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трому панкреатиті. На ІІ стадії оперативне ліку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вання здійснюють лише при її нагноєнні (зовнішнє дренування кісти). На ІІІ стадії частіше проводять внутрішнє дренування кісти з тонкою кишкою. На ІV стадії, крім дренуючих кісту операці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й, виконують енуклеацію (вилущу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вання)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кісти  або дистальну резекцію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підшлункової залоз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и з кістою. При на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гноєнні, 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та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перфорації кісти у тяжкохворих виконують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марсупіалізацію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– підши-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вання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стінок кісти до парієтальної очеревини та шкіри.</w:t>
      </w:r>
    </w:p>
    <w:p w:rsidR="002E6C40" w:rsidRPr="002E6C40" w:rsidRDefault="002E6C40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31F20"/>
          <w:sz w:val="40"/>
          <w:szCs w:val="40"/>
        </w:rPr>
      </w:pPr>
    </w:p>
    <w:p w:rsidR="002E6C40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</w:pPr>
      <w:r w:rsidRPr="002E6C40">
        <w:rPr>
          <w:rFonts w:ascii="Times New Roman" w:hAnsi="Times New Roman" w:cs="Times New Roman"/>
          <w:b/>
          <w:bCs/>
          <w:i/>
          <w:iCs/>
          <w:color w:val="231F20"/>
          <w:sz w:val="40"/>
          <w:szCs w:val="40"/>
        </w:rPr>
        <w:t>Нориці підшлункової залози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</w:t>
      </w:r>
    </w:p>
    <w:p w:rsidR="002D1EDE" w:rsidRPr="003A2A1F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– 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це пато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логічн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е сполучення між </w:t>
      </w:r>
      <w:proofErr w:type="spellStart"/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протоковою</w:t>
      </w:r>
      <w:proofErr w:type="spellEnd"/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сис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темою або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постнекротичною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порожниною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залози з другими органами, порожнинами або поверхнею тіла. Розрізняють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зовнішні нориці,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які відкриваються на шкірі, і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внутрішні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коли нориця з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  <w:lang w:val="en-US"/>
        </w:rPr>
        <w:t>’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єднується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з порожнистим органом (шлун</w:t>
      </w:r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ком, дванадцятипалою кишкою і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ін.).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 xml:space="preserve">Їх поділяють ще на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повні нориці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при яких сік підшлункової залози повністю виділяється через норицю (до 1-1,5 л за добу) і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неповні нориці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при яких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спосте-рігають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лише часткове виділення соку.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Найбільш часто нориці утворюються після відкритої травми живота або після операцій на підшлунковій залозі.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Клініка.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При зовнішній нориці підшлункової залози спостерігають виді-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лення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панкреатичного соку через її зовнішній отвір. Кількість виділень зале-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жить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від виду нориці, при повних норицях втрата соку залози призводить до різкого погіршання стану хворого, вираженого порушення білкового,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жирово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-го, вуглеводного, водно-електролітного обмінів, виснаження і кахексії. При неповних норицях ці зміни менш виражені. При внутрішніх норицях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панкреа-тичний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сік поступає у шлунок, дванадцятипалу та тонку кишку і т. ін.; таких патофізіологічних порушень, як при зовнішніх норицях, немає.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Діагностика зовнішніх нориць підшлункової залози труднощів не викликає.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Для уточнення діагнозу проводять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фістулографію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(у норицю вводять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рентгено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-контрастну речовину), досліджують наявність ферментів у виділеннях із нориці.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Лікування.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При неповних норицях проводять консервативне лікування.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Хво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-рим призначають спеціальну дієту (стіл № 5 п), багату білками і бідну на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вуг-леводи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комплекс вітамінів. Застосовують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антисекреторні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препарати (атропін,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метацин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сандостатин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стиламін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даларгін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тощо). Місцево здійснюють заходи з профілактики мацерації шкіри. Навколо нориці наносять пасту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Ласара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, цин-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кову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мазь, у просвіт нориці вводять дренаж, через який промивають її слабким розчином молочної кислоти, 5 % розчином S-амінокапронової кислоти для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інак-тивації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панкреатичного соку антисептиками. Неповні нориці, як правило,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зак-риваються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під впливом консервативного лікування.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При повних норицях показано хірургічне лікування. У цих випадках здійснюють висікання нориці, вшивання її в шлунок або тонку кишку, висі-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кання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з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одномоментною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резекцією підшлункової залози.</w:t>
      </w:r>
    </w:p>
    <w:p w:rsidR="002E6C40" w:rsidRDefault="002E6C40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</w:p>
    <w:p w:rsidR="002D1EDE" w:rsidRPr="002E6C40" w:rsidRDefault="002D1EDE" w:rsidP="002E6C4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31F20"/>
          <w:sz w:val="40"/>
          <w:szCs w:val="40"/>
        </w:rPr>
      </w:pPr>
      <w:r w:rsidRPr="002E6C40">
        <w:rPr>
          <w:rFonts w:ascii="Times New Roman" w:hAnsi="Times New Roman" w:cs="Times New Roman"/>
          <w:b/>
          <w:bCs/>
          <w:color w:val="231F20"/>
          <w:sz w:val="40"/>
          <w:szCs w:val="40"/>
        </w:rPr>
        <w:t>Пухлини підшлункової залози</w:t>
      </w:r>
    </w:p>
    <w:p w:rsidR="002E6C40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До доброякісних пухлин підшлункової за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лози відносять: пухлини, що роз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виваються із епітеліальної тканини (аденоми,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цистаденоми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); 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із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сполучної (фібро-ми); 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із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судинної (гемангіоми,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лімфангіоми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); з нервової (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невриноми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гангліонев-риноми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);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дизонтогенні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(природжені) пухлини (тератоми) і т. ін. </w:t>
      </w:r>
    </w:p>
    <w:p w:rsidR="002D1EDE" w:rsidRPr="002E6C40" w:rsidRDefault="002E6C40" w:rsidP="002E6C4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</w:pPr>
      <w:r>
        <w:rPr>
          <w:rFonts w:ascii="Times New Roman" w:hAnsi="Times New Roman" w:cs="Times New Roman"/>
          <w:b/>
          <w:color w:val="231F20"/>
          <w:sz w:val="28"/>
          <w:szCs w:val="28"/>
        </w:rPr>
        <w:t>Доброякісні пух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лини можуть виникати у всіх відділах залози. 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Патогномонічних</w:t>
      </w:r>
      <w:proofErr w:type="spellEnd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симптомів немає. Особливий інтерес викликають добро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якісні пухлини </w:t>
      </w:r>
      <w:proofErr w:type="spellStart"/>
      <w:r>
        <w:rPr>
          <w:rFonts w:ascii="Times New Roman" w:hAnsi="Times New Roman" w:cs="Times New Roman"/>
          <w:b/>
          <w:color w:val="231F20"/>
          <w:sz w:val="28"/>
          <w:szCs w:val="28"/>
        </w:rPr>
        <w:t>острівкового</w:t>
      </w:r>
      <w:proofErr w:type="spellEnd"/>
      <w:r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апа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рату підшлункової залози – </w:t>
      </w:r>
      <w:proofErr w:type="spellStart"/>
      <w:r w:rsidR="002D1EDE"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бетаклітинні</w:t>
      </w:r>
      <w:proofErr w:type="spellEnd"/>
      <w:r w:rsidR="002D1EDE"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аденоми 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(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інсуломи</w:t>
      </w:r>
      <w:proofErr w:type="spellEnd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) і </w:t>
      </w:r>
      <w:proofErr w:type="spellStart"/>
      <w:r w:rsidR="002D1EDE"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ульцерогенна</w:t>
      </w:r>
      <w:proofErr w:type="spellEnd"/>
      <w:r w:rsidR="002D1EDE"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аденома 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(гастринома). </w:t>
      </w:r>
      <w:proofErr w:type="spellStart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Бетаклітинна</w:t>
      </w:r>
      <w:proofErr w:type="spellEnd"/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аденома продукує надлишок інсуліну в організмі, внаслідок чого розвивається </w:t>
      </w:r>
      <w:r w:rsidR="002D1EDE"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синдром гіпоглікемії, 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який характери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зується нападом 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різкої слаб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к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ості, потовиділенням, м’</w:t>
      </w:r>
      <w:r>
        <w:rPr>
          <w:rFonts w:ascii="Times New Roman" w:hAnsi="Times New Roman" w:cs="Times New Roman"/>
          <w:b/>
          <w:color w:val="231F20"/>
          <w:sz w:val="28"/>
          <w:szCs w:val="28"/>
        </w:rPr>
        <w:t>язовим тремтінням, періо</w:t>
      </w:r>
      <w:r w:rsidR="002D1EDE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дичною втратою свідомості, рівень цукру знижується до 2,8 ммоль/л і нижче.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Ульцерогенна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аденома виникає із D- клітин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острівкового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апарату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підшлун-кової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залози, які продукують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гастрин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внаслідок чого спостерігається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гіпер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-секреція слизової оболонки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шлунка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, а в шл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унку розвивається виразка (синд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ром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Золінгера-Елісона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).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Важливе значення для встановлення 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діагнозу мають ультразвукова </w:t>
      </w:r>
      <w:proofErr w:type="spellStart"/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со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нографія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комп’ютерна томографія, селективна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целіакографія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Лікування.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Методом вибору лікуванн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я доброякісних пухлин підшлунко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вої залози є операція, яка полягає у видаленні пухлини (аденоми) разом з її капсулою. При множинних пухлинах (аденомах) підшлункової залози, а та-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кож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при наявності ознак малігнізації проводять її резекцію.</w:t>
      </w:r>
    </w:p>
    <w:p w:rsidR="002E6C40" w:rsidRDefault="002E6C40" w:rsidP="003A2A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31F20"/>
          <w:sz w:val="40"/>
          <w:szCs w:val="40"/>
        </w:rPr>
      </w:pP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231F20"/>
          <w:sz w:val="40"/>
          <w:szCs w:val="40"/>
        </w:rPr>
      </w:pPr>
      <w:r w:rsidRPr="003A2A1F">
        <w:rPr>
          <w:rFonts w:ascii="Times New Roman" w:hAnsi="Times New Roman" w:cs="Times New Roman"/>
          <w:b/>
          <w:bCs/>
          <w:color w:val="231F20"/>
          <w:sz w:val="40"/>
          <w:szCs w:val="40"/>
        </w:rPr>
        <w:t>Рак підшлункової залози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Хворіють переважно чоловіки віком пона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д 50 років. За локалізацією роз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різняють рак голівки, тіла і хвоста підшлункової залози. В окремих випадках спос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терігають ураження всього органу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Клініка.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Основні клінічні ознаки захворювання залежать від стадії та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ло-калізації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пухлини. На початкових стадіях рак підшлункової залози перебігає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безсимптомно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або проявляється загальни</w:t>
      </w:r>
      <w:r w:rsidR="002E6C40">
        <w:rPr>
          <w:rFonts w:ascii="Times New Roman" w:hAnsi="Times New Roman" w:cs="Times New Roman"/>
          <w:b/>
          <w:color w:val="231F20"/>
          <w:sz w:val="28"/>
          <w:szCs w:val="28"/>
        </w:rPr>
        <w:t>ми ознаками захворювання. У хво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рих спостерігається загальна слабість, зменшується маса тіла, виникає біль, тяжкість у надчеревній ділянці після вживання їжі, відрижка, здуття живота.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При наявності раку голівки залози і стисненні загальної жовчної протоки ви-никає механічна жовтяниця. Шкіра  набуває характерного зеленувато-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земли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стого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відтінку.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Патогноманічною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ознакою раку голівки підшлункової залози є </w:t>
      </w: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симптом </w:t>
      </w:r>
      <w:proofErr w:type="spellStart"/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Курвуазьє</w:t>
      </w:r>
      <w:proofErr w:type="spellEnd"/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(збільшений неболючий жовчний міхур + механічна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жов-тяниця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), що виявляють при дослідженні черевної  порожнини.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Клінічні ознаки раку тіла і хвоста підшлункової залози менш виражені. І лише, коли пухлина досягає значних розмірів, виникає біль і з’являються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озна-ки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стиснення сусідніх органів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Основни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-ми методами діагностики раку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підшлун-кової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залози є УЗД та комп’</w:t>
      </w:r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ютерна то-</w:t>
      </w:r>
      <w:proofErr w:type="spellStart"/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мографія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Цінними є гіпотонічна контрастна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дуоденографія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, сканування, селективна ангіографія.</w:t>
      </w:r>
    </w:p>
    <w:p w:rsidR="002D1EDE" w:rsidRPr="003A2A1F" w:rsidRDefault="002D1EDE" w:rsidP="003A2A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3A2A1F">
        <w:rPr>
          <w:rFonts w:ascii="Times New Roman" w:hAnsi="Times New Roman" w:cs="Times New Roman"/>
          <w:b/>
          <w:i/>
          <w:iCs/>
          <w:color w:val="231F20"/>
          <w:sz w:val="28"/>
          <w:szCs w:val="28"/>
        </w:rPr>
        <w:t>Лікування.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 Методом вибору ліку-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вання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раку підшлункової залози є опера-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ція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. При локалізації пухлини в голівці зало</w:t>
      </w:r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зи виконують радикальну </w:t>
      </w:r>
      <w:proofErr w:type="spellStart"/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панкреа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тодуоде</w:t>
      </w:r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нальну</w:t>
      </w:r>
      <w:proofErr w:type="spellEnd"/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резекцію. Операція поляг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ає у ви</w:t>
      </w:r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даленні всієї підшлункової зало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зи, дванадцятипалої</w:t>
      </w:r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кишки, кінцевої ча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стини загальної жовчної протоки, селезінки і регіональних лімфатичних вузлів.</w:t>
      </w:r>
      <w:r w:rsidR="003A2A1F"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Операцію закінчують накладанням двох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ана</w:t>
      </w:r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стомозів</w:t>
      </w:r>
      <w:proofErr w:type="spellEnd"/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: </w:t>
      </w:r>
      <w:proofErr w:type="spellStart"/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холедохоєюноанасто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мозу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й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гастроєюноанастомозу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. У разі 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lastRenderedPageBreak/>
        <w:t>виявлен</w:t>
      </w:r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ня раку тіла і хвоста залози за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стосовують поперечну резекцію тіла і хвоста підшлункової залози. Однак у зв’язку із пізньою діагностикою та високою післяопераційною летальністю (40-</w:t>
      </w:r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60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%) радикальні операції застосовують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рідко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. Частіше виконують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симптома-тичні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операції (різні варіанти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анастомозів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: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холецистоєюноанастомоз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холедо-ходуоденоанастомоз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). Як паліативний ме</w:t>
      </w:r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тод застосовують променеву тера</w:t>
      </w:r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пію. У хворих із нападами сильного болю призначають спочатку ненаркотичні (анальгін, баралгін,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трамадол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кетанов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), а згодом і наркотичні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аналгетики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(морфін,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омнопон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промедол),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спазмолітики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(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спазмоверин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, 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спазфон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, но-</w:t>
      </w:r>
      <w:proofErr w:type="spellStart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шпу</w:t>
      </w:r>
      <w:proofErr w:type="spellEnd"/>
      <w:r w:rsidRPr="003A2A1F">
        <w:rPr>
          <w:rFonts w:ascii="Times New Roman" w:hAnsi="Times New Roman" w:cs="Times New Roman"/>
          <w:b/>
          <w:color w:val="231F20"/>
          <w:sz w:val="28"/>
          <w:szCs w:val="28"/>
        </w:rPr>
        <w:t>, платифілін</w:t>
      </w:r>
      <w:r w:rsidR="00F24216">
        <w:rPr>
          <w:rFonts w:ascii="Times New Roman" w:hAnsi="Times New Roman" w:cs="Times New Roman"/>
          <w:b/>
          <w:color w:val="231F20"/>
          <w:sz w:val="28"/>
          <w:szCs w:val="28"/>
        </w:rPr>
        <w:t>).</w:t>
      </w:r>
    </w:p>
    <w:p w:rsidR="002D1EDE" w:rsidRPr="003A2A1F" w:rsidRDefault="002D1EDE" w:rsidP="003A2A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0FFF" w:rsidRPr="003A2A1F" w:rsidRDefault="00A60FFF" w:rsidP="003A2A1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60FFF" w:rsidRPr="003A2A1F" w:rsidSect="003A2A1F">
      <w:footerReference w:type="default" r:id="rId12"/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758" w:rsidRDefault="00F24216">
      <w:pPr>
        <w:spacing w:after="0" w:line="240" w:lineRule="auto"/>
      </w:pPr>
      <w:r>
        <w:separator/>
      </w:r>
    </w:p>
  </w:endnote>
  <w:endnote w:type="continuationSeparator" w:id="0">
    <w:p w:rsidR="00EA6758" w:rsidRDefault="00F24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4671956"/>
      <w:docPartObj>
        <w:docPartGallery w:val="Page Numbers (Bottom of Page)"/>
        <w:docPartUnique/>
      </w:docPartObj>
    </w:sdtPr>
    <w:sdtEndPr/>
    <w:sdtContent>
      <w:p w:rsidR="00F24216" w:rsidRDefault="00F2421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77F">
          <w:rPr>
            <w:noProof/>
          </w:rPr>
          <w:t>3</w:t>
        </w:r>
        <w:r>
          <w:fldChar w:fldCharType="end"/>
        </w:r>
      </w:p>
    </w:sdtContent>
  </w:sdt>
  <w:p w:rsidR="00C461EA" w:rsidRDefault="0003777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758" w:rsidRDefault="00F24216">
      <w:pPr>
        <w:spacing w:after="0" w:line="240" w:lineRule="auto"/>
      </w:pPr>
      <w:r>
        <w:separator/>
      </w:r>
    </w:p>
  </w:footnote>
  <w:footnote w:type="continuationSeparator" w:id="0">
    <w:p w:rsidR="00EA6758" w:rsidRDefault="00F242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577"/>
    <w:rsid w:val="0003777F"/>
    <w:rsid w:val="002D1EDE"/>
    <w:rsid w:val="002E6C40"/>
    <w:rsid w:val="003A2A1F"/>
    <w:rsid w:val="00445577"/>
    <w:rsid w:val="00A60FFF"/>
    <w:rsid w:val="00A75278"/>
    <w:rsid w:val="00B068E1"/>
    <w:rsid w:val="00B427BC"/>
    <w:rsid w:val="00EA6758"/>
    <w:rsid w:val="00F2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199"/>
  <w15:chartTrackingRefBased/>
  <w15:docId w15:val="{54130CFE-3FBF-4012-B9BE-2C6BDD2B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D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D1E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2D1EDE"/>
  </w:style>
  <w:style w:type="paragraph" w:styleId="a5">
    <w:name w:val="header"/>
    <w:basedOn w:val="a"/>
    <w:link w:val="a6"/>
    <w:uiPriority w:val="99"/>
    <w:unhideWhenUsed/>
    <w:rsid w:val="003A2A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3A2A1F"/>
  </w:style>
  <w:style w:type="paragraph" w:styleId="a7">
    <w:name w:val="Normal (Web)"/>
    <w:basedOn w:val="a"/>
    <w:uiPriority w:val="99"/>
    <w:semiHidden/>
    <w:unhideWhenUsed/>
    <w:rsid w:val="00B068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uroweb.ru/catalog/med_lib/oper_atl/img/675.gif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http://www.uroweb.ru/catalog/med_lib/oper_atl/img/677.jp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http://www.uroweb.ru/catalog/med_lib/oper_atl/img/674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9489</Words>
  <Characters>5409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2024-10-03T16:27:00Z</dcterms:created>
  <dcterms:modified xsi:type="dcterms:W3CDTF">2024-11-12T12:00:00Z</dcterms:modified>
</cp:coreProperties>
</file>